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rFonts w:ascii="Plus Jakarta Sans" w:cs="Plus Jakarta Sans" w:eastAsia="Plus Jakarta Sans" w:hAnsi="Plus Jakarta San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Plus Jakarta Sans" w:cs="Plus Jakarta Sans" w:eastAsia="Plus Jakarta Sans" w:hAnsi="Plus Jakarta San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right"/>
        <w:rPr>
          <w:rFonts w:ascii="Plus Jakarta Sans" w:cs="Plus Jakarta Sans" w:eastAsia="Plus Jakarta Sans" w:hAnsi="Plus Jakarta Sans"/>
          <w:sz w:val="20"/>
          <w:szCs w:val="20"/>
        </w:rPr>
      </w:pPr>
      <w:r w:rsidDel="00000000" w:rsidR="00000000" w:rsidRPr="00000000">
        <w:rPr>
          <w:rFonts w:ascii="Plus Jakarta Sans" w:cs="Plus Jakarta Sans" w:eastAsia="Plus Jakarta Sans" w:hAnsi="Plus Jakarta Sans"/>
          <w:sz w:val="20"/>
          <w:szCs w:val="20"/>
          <w:rtl w:val="0"/>
        </w:rPr>
        <w:t xml:space="preserve">Warszawa, 21.05.25</w:t>
      </w:r>
    </w:p>
    <w:p w:rsidR="00000000" w:rsidDel="00000000" w:rsidP="00000000" w:rsidRDefault="00000000" w:rsidRPr="00000000" w14:paraId="00000004">
      <w:pPr>
        <w:spacing w:after="240" w:before="240" w:lineRule="auto"/>
        <w:jc w:val="right"/>
        <w:rPr>
          <w:rFonts w:ascii="Plus Jakarta Sans" w:cs="Plus Jakarta Sans" w:eastAsia="Plus Jakarta Sans" w:hAnsi="Plus Jakarta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Plus Jakarta Sans" w:cs="Plus Jakarta Sans" w:eastAsia="Plus Jakarta Sans" w:hAnsi="Plus Jakarta Sans"/>
          <w:b w:val="1"/>
          <w:sz w:val="26"/>
          <w:szCs w:val="26"/>
        </w:rPr>
      </w:pPr>
      <w:r w:rsidDel="00000000" w:rsidR="00000000" w:rsidRPr="00000000">
        <w:rPr>
          <w:rFonts w:ascii="Plus Jakarta Sans" w:cs="Plus Jakarta Sans" w:eastAsia="Plus Jakarta Sans" w:hAnsi="Plus Jakarta Sans"/>
          <w:b w:val="1"/>
          <w:sz w:val="26"/>
          <w:szCs w:val="26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619125</wp:posOffset>
            </wp:positionH>
            <wp:positionV relativeFrom="page">
              <wp:posOffset>161925</wp:posOffset>
            </wp:positionV>
            <wp:extent cx="3818025" cy="1014413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8025" cy="10144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Plus Jakarta Sans" w:cs="Plus Jakarta Sans" w:eastAsia="Plus Jakarta Sans" w:hAnsi="Plus Jakarta Sans"/>
          <w:b w:val="1"/>
          <w:sz w:val="26"/>
          <w:szCs w:val="26"/>
          <w:rtl w:val="0"/>
        </w:rPr>
        <w:t xml:space="preserve">„Wolność, wiedza, wspólnota – technologie cyfrowe w edukacji.”  </w:t>
      </w:r>
      <w:r w:rsidDel="00000000" w:rsidR="00000000" w:rsidRPr="00000000">
        <w:rPr>
          <w:rFonts w:ascii="Plus Jakarta Sans" w:cs="Plus Jakarta Sans" w:eastAsia="Plus Jakarta Sans" w:hAnsi="Plus Jakarta Sans"/>
          <w:b w:val="1"/>
          <w:sz w:val="26"/>
          <w:szCs w:val="26"/>
          <w:rtl w:val="0"/>
        </w:rPr>
        <w:t xml:space="preserve">Pokazać Przekazać 2025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Plus Jakarta Sans" w:cs="Plus Jakarta Sans" w:eastAsia="Plus Jakarta Sans" w:hAnsi="Plus Jakarta San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Plus Jakarta Sans" w:cs="Plus Jakarta Sans" w:eastAsia="Plus Jakarta Sans" w:hAnsi="Plus Jakarta Sans"/>
          <w:b w:val="1"/>
        </w:rPr>
      </w:pPr>
      <w:r w:rsidDel="00000000" w:rsidR="00000000" w:rsidRPr="00000000">
        <w:rPr>
          <w:rFonts w:ascii="Plus Jakarta Sans" w:cs="Plus Jakarta Sans" w:eastAsia="Plus Jakarta Sans" w:hAnsi="Plus Jakarta Sans"/>
          <w:b w:val="1"/>
          <w:rtl w:val="0"/>
        </w:rPr>
        <w:t xml:space="preserve">Jaka powinna być proporcja między edukacją wspomaganą cyfrowo i analogową? Do jakiego stopnia Sztuczna Inteligencja wyręczy, a może zastąpi nauczycieli? Jaka powinna być relacja pomiędzy edukacją a technologiami cyfrowymi i treściami, które konsumują za ich pomocą dzieci i młodzież? Jak głęboko technologia cyfrowa ingeruje w procesy poznawcze i emocjonalne u dzieci i młodzieży? Czy i jakie zmiany powoduje? Jak rozwój technologii cyfrowych wpływa na rozwój naszych społeczności? – o tym porozmawiają uczestnicy konferencji Pokazać – Przekazać 21 i 22 sierpnia 2025 w warszawskim Centrum Nauki Kopernik.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Plus Jakarta Sans" w:cs="Plus Jakarta Sans" w:eastAsia="Plus Jakarta Sans" w:hAnsi="Plus Jakarta Sans"/>
        </w:rPr>
      </w:pPr>
      <w:r w:rsidDel="00000000" w:rsidR="00000000" w:rsidRPr="00000000">
        <w:rPr>
          <w:rFonts w:ascii="Plus Jakarta Sans" w:cs="Plus Jakarta Sans" w:eastAsia="Plus Jakarta Sans" w:hAnsi="Plus Jakarta Sans"/>
          <w:rtl w:val="0"/>
        </w:rPr>
        <w:t xml:space="preserve">Jak pokazują dane z badań zrealizowanych przez Centrum Nauki Kopernik w 2023 roku, 96% uczniów w wieku 13–19 lat codziennie używa smartfonów, prawie połowa z nich dysponuje również tabletami. Raport Fundacji Cyfrowe Obywatelstwo wskazuje, że wśród dzieci między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Plus Jakarta Sans" w:cs="Plus Jakarta Sans" w:eastAsia="Plus Jakarta Sans" w:hAnsi="Plus Jakarta Sans"/>
        </w:rPr>
      </w:pPr>
      <w:r w:rsidDel="00000000" w:rsidR="00000000" w:rsidRPr="00000000">
        <w:rPr>
          <w:rFonts w:ascii="Plus Jakarta Sans" w:cs="Plus Jakarta Sans" w:eastAsia="Plus Jakarta Sans" w:hAnsi="Plus Jakarta Sans"/>
          <w:rtl w:val="0"/>
        </w:rPr>
        <w:t xml:space="preserve">7 i 14 rokiem życia z Internetu korzysta 85%, a prawie wszystkie korzystają z urządzeń mobilnych. Spędzają tam średnio nieco ponad 4 godziny dziennie, najchętniej korzystając z serwisów streamingowych, społecznościowych oraz komunikatorów.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Plus Jakarta Sans" w:cs="Plus Jakarta Sans" w:eastAsia="Plus Jakarta Sans" w:hAnsi="Plus Jakarta Sans"/>
        </w:rPr>
      </w:pPr>
      <w:r w:rsidDel="00000000" w:rsidR="00000000" w:rsidRPr="00000000">
        <w:rPr>
          <w:rFonts w:ascii="Plus Jakarta Sans" w:cs="Plus Jakarta Sans" w:eastAsia="Plus Jakarta Sans" w:hAnsi="Plus Jakarta Sans"/>
          <w:rtl w:val="0"/>
        </w:rPr>
        <w:t xml:space="preserve">Powyższe dane skłaniają do wielu pytań, które ożywią debaty, panele dyskusyjne, sesje warsztatowe i nieformalne rozmowy prowadzone w trakcie konferencji PP 2025.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Plus Jakarta Sans" w:cs="Plus Jakarta Sans" w:eastAsia="Plus Jakarta Sans" w:hAnsi="Plus Jakarta Sans"/>
          <w:b w:val="1"/>
          <w:sz w:val="24"/>
          <w:szCs w:val="24"/>
        </w:rPr>
      </w:pPr>
      <w:r w:rsidDel="00000000" w:rsidR="00000000" w:rsidRPr="00000000">
        <w:rPr>
          <w:rFonts w:ascii="Plus Jakarta Sans" w:cs="Plus Jakarta Sans" w:eastAsia="Plus Jakarta Sans" w:hAnsi="Plus Jakarta Sans"/>
          <w:b w:val="1"/>
          <w:sz w:val="24"/>
          <w:szCs w:val="24"/>
          <w:rtl w:val="0"/>
        </w:rPr>
        <w:t xml:space="preserve">Program konferencji Pokazać - Przekazać 2025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Plus Jakarta Sans" w:cs="Plus Jakarta Sans" w:eastAsia="Plus Jakarta Sans" w:hAnsi="Plus Jakarta Sans"/>
        </w:rPr>
      </w:pPr>
      <w:r w:rsidDel="00000000" w:rsidR="00000000" w:rsidRPr="00000000">
        <w:rPr>
          <w:rFonts w:ascii="Plus Jakarta Sans" w:cs="Plus Jakarta Sans" w:eastAsia="Plus Jakarta Sans" w:hAnsi="Plus Jakarta Sans"/>
          <w:rtl w:val="0"/>
        </w:rPr>
        <w:t xml:space="preserve">Program jest zbudowany wokół trzech ścieżek tematycznych, sygnowanych przez trzy zawarte w tytule konferencji wartości: wolność, wiedzę i wspólnotę. Można je uznać za ideały przyświecające procesowi edukacyjnemu – wszak jego celem powinno być kształcenie jednostek autonomicznych, rozumiejących otaczający je świat i umiejących funkcjonować w rozmaitych społecznościach. Wyrażają one także nadzieje, które towarzyszyły wczesnej epoce rozwoju Internetu – miała to być przestrzeń oferująca użytkownikom niezależność wypowiedzi, natychmiastowy dostęp do nieograniczonych zasobów wiedzy i możliwość komunikacji z każdą osobą na świecie. Tymczasem dziś nasza wolność jest zagrożona przez internetową inwigilację oraz marketingową i polityczną inżynierię wpływu. Wiedza oparta na nauce jest kwestionowana przez rozmaite irracjonalizmy i kampanie dezinformacyjne. Wspólnota pęka po liniach polaryzacji i atomizacji społecznej. A to wszystko w epoce błyskawicznego rozwoju Sztucznej Inteligencji, którego kierunku i konsekwencji nie da się w pełni przewidzieć.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Plus Jakarta Sans" w:cs="Plus Jakarta Sans" w:eastAsia="Plus Jakarta Sans" w:hAnsi="Plus Jakarta Sans"/>
        </w:rPr>
      </w:pPr>
      <w:r w:rsidDel="00000000" w:rsidR="00000000" w:rsidRPr="00000000">
        <w:rPr>
          <w:rFonts w:ascii="Plus Jakarta Sans" w:cs="Plus Jakarta Sans" w:eastAsia="Plus Jakarta Sans" w:hAnsi="Plus Jakarta Sans"/>
          <w:rtl w:val="0"/>
        </w:rPr>
        <w:t xml:space="preserve">Zespół Centrum Nauki Kopernik uważa, że nauka pomaga znaleźć rozwiązania dla problemów trapiących ludzkość. Jednak to nie nauka rozwiązuje problemy tylko ludzie: myślący samodzielnie i działający wspólnie. Krytyczna analiza informacji, współpraca w zespole i sprawczość w działaniu to fundamenty edukacji – teraz i w przyszłości. Podczas PP 2025 będzie przestrzeń do przyjaznego dialogu i kuluarowych rozmów, jak mierzyć się z różnymi wyzwaniami, korzystając z osiągnięć nauki i rozwiązań nauczycieli, edukatorów – praktyków oddolnych zmian w procesie uczenia i uczenia się.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Plus Jakarta Sans" w:cs="Plus Jakarta Sans" w:eastAsia="Plus Jakarta Sans" w:hAnsi="Plus Jakarta Sans"/>
        </w:rPr>
      </w:pPr>
      <w:r w:rsidDel="00000000" w:rsidR="00000000" w:rsidRPr="00000000">
        <w:rPr>
          <w:rFonts w:ascii="Plus Jakarta Sans" w:cs="Plus Jakarta Sans" w:eastAsia="Plus Jakarta Sans" w:hAnsi="Plus Jakarta Sans"/>
          <w:rtl w:val="0"/>
        </w:rPr>
        <w:t xml:space="preserve">Uczestnicy PP 2025 podejmą wysiłek krytycznego spojrzenia na relacje edukacji i technologii cyfrowych. Wysłuchają ponad 20 ekspertów i ekspertek, wymienią się doświadczeniami i wiedzą w ramach 4 formatów dyskusyjnych oraz wypracują możliwe rozwiązania problemów poruszanych w trakcie 16 warsztatów. Dowiedzą się, jak odzyskiwać kontrolę nad korzystaniem z mediów elektronicznych i twórczo korzystać z dostępnych narzędzi.</w:t>
      </w:r>
    </w:p>
    <w:p w:rsidR="00000000" w:rsidDel="00000000" w:rsidP="00000000" w:rsidRDefault="00000000" w:rsidRPr="00000000" w14:paraId="0000000F">
      <w:pPr>
        <w:rPr>
          <w:rFonts w:ascii="Plus Jakarta Sans" w:cs="Plus Jakarta Sans" w:eastAsia="Plus Jakarta Sans" w:hAnsi="Plus Jakarta Sans"/>
        </w:rPr>
      </w:pPr>
      <w:r w:rsidDel="00000000" w:rsidR="00000000" w:rsidRPr="00000000">
        <w:rPr>
          <w:rFonts w:ascii="Plus Jakarta Sans" w:cs="Plus Jakarta Sans" w:eastAsia="Plus Jakarta Sans" w:hAnsi="Plus Jakarta Sans"/>
          <w:rtl w:val="0"/>
        </w:rPr>
        <w:t xml:space="preserve">Poznają edukacyjny potencjał gier komputerowych innych niż Minecraft i Roblox. Z młodymi przewodnikami zajrzą w niedostępne dla dorosłych zakamarki Internetu. Poszukają ścieżek powrotu do uważnego doświadczania kultury. Podejmą wspólną próbę zrozumienia tego, co dzieje się wokół i stworzą strategie mądrego działania.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Plus Jakarta Sans" w:cs="Plus Jakarta Sans" w:eastAsia="Plus Jakarta Sans" w:hAnsi="Plus Jakarta Sans"/>
          <w:b w:val="1"/>
          <w:sz w:val="24"/>
          <w:szCs w:val="24"/>
        </w:rPr>
      </w:pPr>
      <w:r w:rsidDel="00000000" w:rsidR="00000000" w:rsidRPr="00000000">
        <w:rPr>
          <w:rFonts w:ascii="Plus Jakarta Sans" w:cs="Plus Jakarta Sans" w:eastAsia="Plus Jakarta Sans" w:hAnsi="Plus Jakarta Sans"/>
          <w:b w:val="1"/>
          <w:sz w:val="24"/>
          <w:szCs w:val="24"/>
          <w:rtl w:val="0"/>
        </w:rPr>
        <w:t xml:space="preserve">Fundacja Szkoła z Klasą na Pokazać - Przekazać 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Plus Jakarta Sans" w:cs="Plus Jakarta Sans" w:eastAsia="Plus Jakarta Sans" w:hAnsi="Plus Jakarta Sans"/>
        </w:rPr>
      </w:pPr>
      <w:r w:rsidDel="00000000" w:rsidR="00000000" w:rsidRPr="00000000">
        <w:rPr>
          <w:rFonts w:ascii="Plus Jakarta Sans" w:cs="Plus Jakarta Sans" w:eastAsia="Plus Jakarta Sans" w:hAnsi="Plus Jakarta Sans"/>
          <w:rtl w:val="0"/>
        </w:rPr>
        <w:t xml:space="preserve">Fundacja Szkoła z Klasą będzie obecna zarówno na części warsztatowej, jak i na Giełdzie Inicjatyw tegorocznego wydarzenia. W programie tegorocznej konferencji Pokazać – Przekazać znajdą się dwa warsztaty prowadzone przez ekspertki Fundacji.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Plus Jakarta Sans" w:cs="Plus Jakarta Sans" w:eastAsia="Plus Jakarta Sans" w:hAnsi="Plus Jakarta Sans"/>
        </w:rPr>
      </w:pPr>
      <w:r w:rsidDel="00000000" w:rsidR="00000000" w:rsidRPr="00000000">
        <w:rPr>
          <w:rFonts w:ascii="Plus Jakarta Sans" w:cs="Plus Jakarta Sans" w:eastAsia="Plus Jakarta Sans" w:hAnsi="Plus Jakarta Sans"/>
          <w:b w:val="1"/>
          <w:rtl w:val="0"/>
        </w:rPr>
        <w:t xml:space="preserve">Magda Domańska</w:t>
      </w:r>
      <w:r w:rsidDel="00000000" w:rsidR="00000000" w:rsidRPr="00000000">
        <w:rPr>
          <w:rFonts w:ascii="Plus Jakarta Sans" w:cs="Plus Jakarta Sans" w:eastAsia="Plus Jakarta Sans" w:hAnsi="Plus Jakarta Sans"/>
          <w:rtl w:val="0"/>
        </w:rPr>
        <w:t xml:space="preserve">, koordynatorka programu Szkoła z Klasą, poprowadzi warsztat </w:t>
      </w:r>
      <w:r w:rsidDel="00000000" w:rsidR="00000000" w:rsidRPr="00000000">
        <w:rPr>
          <w:rFonts w:ascii="Plus Jakarta Sans" w:cs="Plus Jakarta Sans" w:eastAsia="Plus Jakarta Sans" w:hAnsi="Plus Jakarta Sans"/>
          <w:b w:val="1"/>
          <w:rtl w:val="0"/>
        </w:rPr>
        <w:t xml:space="preserve">„Dialog jako narzędzie budowania odporności w szkole”</w:t>
      </w:r>
      <w:r w:rsidDel="00000000" w:rsidR="00000000" w:rsidRPr="00000000">
        <w:rPr>
          <w:rFonts w:ascii="Plus Jakarta Sans" w:cs="Plus Jakarta Sans" w:eastAsia="Plus Jakarta Sans" w:hAnsi="Plus Jakarta Sans"/>
          <w:rtl w:val="0"/>
        </w:rPr>
        <w:t xml:space="preserve">, w którym uczestnicy poznają metodę dialogu jako sposób na wzmacnianie relacji i dobrostanu psychicznego w szkolnej społeczności. Podczas warsztatu uczestnicy dowiedzą się, czym dialo</w:t>
      </w:r>
      <w:r w:rsidDel="00000000" w:rsidR="00000000" w:rsidRPr="00000000">
        <w:rPr>
          <w:rFonts w:ascii="Plus Jakarta Sans" w:cs="Plus Jakarta Sans" w:eastAsia="Plus Jakarta Sans" w:hAnsi="Plus Jakarta Sans"/>
          <w:rtl w:val="0"/>
        </w:rPr>
        <w:t xml:space="preserve">g różni się od debaty, jak wprowadzać jego elementy do codziennej pracy z dziećmi i młodzieżą.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Plus Jakarta Sans" w:cs="Plus Jakarta Sans" w:eastAsia="Plus Jakarta Sans" w:hAnsi="Plus Jakarta Sans"/>
        </w:rPr>
      </w:pPr>
      <w:r w:rsidDel="00000000" w:rsidR="00000000" w:rsidRPr="00000000">
        <w:rPr>
          <w:rFonts w:ascii="Plus Jakarta Sans" w:cs="Plus Jakarta Sans" w:eastAsia="Plus Jakarta Sans" w:hAnsi="Plus Jakarta Sans"/>
          <w:b w:val="1"/>
          <w:rtl w:val="0"/>
        </w:rPr>
        <w:t xml:space="preserve">Agnieszka Gwiazdowicz</w:t>
      </w:r>
      <w:r w:rsidDel="00000000" w:rsidR="00000000" w:rsidRPr="00000000">
        <w:rPr>
          <w:rFonts w:ascii="Plus Jakarta Sans" w:cs="Plus Jakarta Sans" w:eastAsia="Plus Jakarta Sans" w:hAnsi="Plus Jakarta Sans"/>
          <w:rtl w:val="0"/>
        </w:rPr>
        <w:t xml:space="preserve">, trenerka w programie Asy Internetu  zaprosi z kolei do refleksji nad tym, </w:t>
      </w:r>
      <w:r w:rsidDel="00000000" w:rsidR="00000000" w:rsidRPr="00000000">
        <w:rPr>
          <w:rFonts w:ascii="Plus Jakarta Sans" w:cs="Plus Jakarta Sans" w:eastAsia="Plus Jakarta Sans" w:hAnsi="Plus Jakarta Sans"/>
          <w:b w:val="1"/>
          <w:rtl w:val="0"/>
        </w:rPr>
        <w:t xml:space="preserve">„W jakich społecznościach funkcjonujemy online?”</w:t>
      </w:r>
      <w:r w:rsidDel="00000000" w:rsidR="00000000" w:rsidRPr="00000000">
        <w:rPr>
          <w:rFonts w:ascii="Plus Jakarta Sans" w:cs="Plus Jakarta Sans" w:eastAsia="Plus Jakarta Sans" w:hAnsi="Plus Jakarta Sans"/>
          <w:rtl w:val="0"/>
        </w:rPr>
        <w:t xml:space="preserve">. Podczas warsztatu uczestnicy przyjrzą się zjawisku baniek informacyjnych i polaryzacji w sieci, poznają narzędzia do pracy ze stereotypami i dowiedzą się, jak wspierać uczniów w krytycznym odbiorze treści online oraz budowaniu bardziej otwartych, uważnych wspólnot w szkole.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Plus Jakarta Sans" w:cs="Plus Jakarta Sans" w:eastAsia="Plus Jakarta Sans" w:hAnsi="Plus Jakarta Sans"/>
          <w:sz w:val="26"/>
          <w:szCs w:val="26"/>
        </w:rPr>
      </w:pPr>
      <w:r w:rsidDel="00000000" w:rsidR="00000000" w:rsidRPr="00000000">
        <w:rPr>
          <w:rFonts w:ascii="Plus Jakarta Sans" w:cs="Plus Jakarta Sans" w:eastAsia="Plus Jakarta Sans" w:hAnsi="Plus Jakarta Sans"/>
          <w:b w:val="1"/>
          <w:sz w:val="26"/>
          <w:szCs w:val="26"/>
          <w:rtl w:val="0"/>
        </w:rPr>
        <w:t xml:space="preserve">Jak wziąć udział w konferencji?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Plus Jakarta Sans" w:cs="Plus Jakarta Sans" w:eastAsia="Plus Jakarta Sans" w:hAnsi="Plus Jakarta Sans"/>
        </w:rPr>
      </w:pPr>
      <w:r w:rsidDel="00000000" w:rsidR="00000000" w:rsidRPr="00000000">
        <w:rPr>
          <w:rFonts w:ascii="Plus Jakarta Sans" w:cs="Plus Jakarta Sans" w:eastAsia="Plus Jakarta Sans" w:hAnsi="Plus Jakarta Sans"/>
          <w:rtl w:val="0"/>
        </w:rPr>
        <w:t xml:space="preserve">Aby wziąć udział w konferencji należy wypełnić formularz zgłoszeniowy i wnieść opłatę: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Plus Jakarta Sans" w:cs="Plus Jakarta Sans" w:eastAsia="Plus Jakarta Sans" w:hAnsi="Plus Jakarta Sans"/>
          <w:u w:val="none"/>
        </w:rPr>
      </w:pPr>
      <w:r w:rsidDel="00000000" w:rsidR="00000000" w:rsidRPr="00000000">
        <w:rPr>
          <w:rFonts w:ascii="Plus Jakarta Sans" w:cs="Plus Jakarta Sans" w:eastAsia="Plus Jakarta Sans" w:hAnsi="Plus Jakarta Sans"/>
          <w:rtl w:val="0"/>
        </w:rPr>
        <w:t xml:space="preserve">cena promocyjna „early birds” - 299 zł brutto / 243 zł netto – do 28 czerwca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Plus Jakarta Sans" w:cs="Plus Jakarta Sans" w:eastAsia="Plus Jakarta Sans" w:hAnsi="Plus Jakarta Sans"/>
          <w:u w:val="none"/>
        </w:rPr>
      </w:pPr>
      <w:r w:rsidDel="00000000" w:rsidR="00000000" w:rsidRPr="00000000">
        <w:rPr>
          <w:rFonts w:ascii="Plus Jakarta Sans" w:cs="Plus Jakarta Sans" w:eastAsia="Plus Jakarta Sans" w:hAnsi="Plus Jakarta Sans"/>
          <w:rtl w:val="0"/>
        </w:rPr>
        <w:t xml:space="preserve">cena regularna 450 zł brutto / 366 zł netto – do 13 sierpnia.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Plus Jakarta Sans" w:cs="Plus Jakarta Sans" w:eastAsia="Plus Jakarta Sans" w:hAnsi="Plus Jakarta Sans"/>
        </w:rPr>
      </w:pPr>
      <w:r w:rsidDel="00000000" w:rsidR="00000000" w:rsidRPr="00000000">
        <w:rPr>
          <w:rFonts w:ascii="Plus Jakarta Sans" w:cs="Plus Jakarta Sans" w:eastAsia="Plus Jakarta Sans" w:hAnsi="Plus Jakarta Sans"/>
          <w:rtl w:val="0"/>
        </w:rPr>
        <w:t xml:space="preserve">Organizatorzy zapewniają całodzienne wyżywienie, przerwy kawowe z przekąskami i napoje. Nie zwracają kosztów podróży i zakwaterowania. Każdy uczestnik otrzyma zaświadczenie potwierdzające udział w konferencji.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Plus Jakarta Sans" w:cs="Plus Jakarta Sans" w:eastAsia="Plus Jakarta Sans" w:hAnsi="Plus Jakarta Sans"/>
          <w:color w:val="1155cc"/>
          <w:u w:val="single"/>
        </w:rPr>
      </w:pPr>
      <w:r w:rsidDel="00000000" w:rsidR="00000000" w:rsidRPr="00000000">
        <w:rPr>
          <w:rFonts w:ascii="Plus Jakarta Sans" w:cs="Plus Jakarta Sans" w:eastAsia="Plus Jakarta Sans" w:hAnsi="Plus Jakarta Sans"/>
          <w:rtl w:val="0"/>
        </w:rPr>
        <w:t xml:space="preserve">Zapoznaj się z formularzem i programem konferencji: </w:t>
      </w:r>
      <w:hyperlink r:id="rId7">
        <w:r w:rsidDel="00000000" w:rsidR="00000000" w:rsidRPr="00000000">
          <w:rPr>
            <w:rFonts w:ascii="Plus Jakarta Sans" w:cs="Plus Jakarta Sans" w:eastAsia="Plus Jakarta Sans" w:hAnsi="Plus Jakarta Sans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Plus Jakarta Sans" w:cs="Plus Jakarta Sans" w:eastAsia="Plus Jakarta Sans" w:hAnsi="Plus Jakarta Sans"/>
            <w:color w:val="1155cc"/>
            <w:u w:val="single"/>
            <w:rtl w:val="0"/>
          </w:rPr>
          <w:t xml:space="preserve">https://www.kopernik.org.pl/pokazac-przekazac-2025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Plus Jakarta Sans" w:cs="Plus Jakarta Sans" w:eastAsia="Plus Jakarta Sans" w:hAnsi="Plus Jakarta Sans"/>
          <w:color w:val="1155cc"/>
          <w:u w:val="single"/>
        </w:rPr>
      </w:pPr>
      <w:r w:rsidDel="00000000" w:rsidR="00000000" w:rsidRPr="00000000">
        <w:rPr>
          <w:rFonts w:ascii="Plus Jakarta Sans" w:cs="Plus Jakarta Sans" w:eastAsia="Plus Jakarta Sans" w:hAnsi="Plus Jakarta Sans"/>
          <w:rtl w:val="0"/>
        </w:rPr>
        <w:t xml:space="preserve">Obserwuj dyskusję na FB:</w:t>
      </w:r>
      <w:hyperlink r:id="rId9">
        <w:r w:rsidDel="00000000" w:rsidR="00000000" w:rsidRPr="00000000">
          <w:rPr>
            <w:rFonts w:ascii="Plus Jakarta Sans" w:cs="Plus Jakarta Sans" w:eastAsia="Plus Jakarta Sans" w:hAnsi="Plus Jakarta Sans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Plus Jakarta Sans" w:cs="Plus Jakarta Sans" w:eastAsia="Plus Jakarta Sans" w:hAnsi="Plus Jakarta Sans"/>
            <w:color w:val="1155cc"/>
            <w:u w:val="single"/>
            <w:rtl w:val="0"/>
          </w:rPr>
          <w:t xml:space="preserve">https://www.facebook.com/events/1657533071567983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Plus Jakarta Sans" w:cs="Plus Jakarta Sans" w:eastAsia="Plus Jakarta Sans" w:hAnsi="Plus Jakarta Sans"/>
        </w:rPr>
      </w:pPr>
      <w:r w:rsidDel="00000000" w:rsidR="00000000" w:rsidRPr="00000000">
        <w:rPr>
          <w:rFonts w:ascii="Plus Jakarta Sans" w:cs="Plus Jakarta Sans" w:eastAsia="Plus Jakarta Sans" w:hAnsi="Plus Jakarta Sans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us Jakarta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facebook.com/events/1657533071567983" TargetMode="External"/><Relationship Id="rId9" Type="http://schemas.openxmlformats.org/officeDocument/2006/relationships/hyperlink" Target="https://www.facebook.com/events/1657533071567983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kopernik.org.pl/pokazac-przekazac-2025" TargetMode="External"/><Relationship Id="rId8" Type="http://schemas.openxmlformats.org/officeDocument/2006/relationships/hyperlink" Target="https://www.kopernik.org.pl/pokazac-przekazac-2025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usJakartaSans-regular.ttf"/><Relationship Id="rId2" Type="http://schemas.openxmlformats.org/officeDocument/2006/relationships/font" Target="fonts/PlusJakartaSans-bold.ttf"/><Relationship Id="rId3" Type="http://schemas.openxmlformats.org/officeDocument/2006/relationships/font" Target="fonts/PlusJakartaSans-italic.ttf"/><Relationship Id="rId4" Type="http://schemas.openxmlformats.org/officeDocument/2006/relationships/font" Target="fonts/PlusJakarta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